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D5" w:rsidRDefault="00933BD5" w:rsidP="00933BD5"/>
    <w:p w:rsidR="00933BD5" w:rsidRDefault="00933BD5" w:rsidP="00933BD5"/>
    <w:p w:rsidR="00933BD5" w:rsidRPr="00F16A22" w:rsidRDefault="00FD449A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center"/>
        <w:rPr>
          <w:b/>
          <w:bCs/>
        </w:rPr>
      </w:pPr>
      <w:r w:rsidRPr="00F16A22">
        <w:rPr>
          <w:b/>
          <w:bCs/>
        </w:rPr>
        <w:t>CENTRAL VALLEY WATER RECLAMATION FACILITY</w:t>
      </w:r>
      <w:r w:rsidR="00933BD5" w:rsidRPr="00F16A22">
        <w:rPr>
          <w:b/>
          <w:bCs/>
        </w:rPr>
        <w:t xml:space="preserve"> PUBLIC NOTICE</w:t>
      </w:r>
    </w:p>
    <w:p w:rsidR="00933BD5" w:rsidRPr="00F16A22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center"/>
        <w:rPr>
          <w:b/>
          <w:bCs/>
        </w:rPr>
      </w:pPr>
      <w:r w:rsidRPr="00F16A22">
        <w:rPr>
          <w:b/>
          <w:bCs/>
        </w:rPr>
        <w:t>FINDING OF NO SIGNIFICANT IMPACT</w:t>
      </w:r>
    </w:p>
    <w:p w:rsidR="00933BD5" w:rsidRPr="00F16A22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center"/>
        <w:rPr>
          <w:b/>
          <w:bCs/>
        </w:rPr>
      </w:pPr>
      <w:r w:rsidRPr="00F16A22">
        <w:rPr>
          <w:b/>
          <w:bCs/>
        </w:rPr>
        <w:t>ANTIDEGRADATION REVIEW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  <w:r>
        <w:t>TO ALL INTERESTED GOVERNMENTAL AGENCIES AND PUBLIC GROUPS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  <w:r>
        <w:tab/>
      </w:r>
    </w:p>
    <w:p w:rsidR="00E739FA" w:rsidRDefault="00E739FA" w:rsidP="00E739FA">
      <w:pPr>
        <w:widowControl w:val="0"/>
        <w:autoSpaceDE w:val="0"/>
        <w:autoSpaceDN w:val="0"/>
        <w:adjustRightInd w:val="0"/>
        <w:jc w:val="both"/>
      </w:pPr>
      <w:r>
        <w:t xml:space="preserve">On December 3, 2018, the Utah Water Quality Board authorized construction funding for a $65,100,000 State Revolving Fund (SRF) loan to CVWRF with a repayment term of 20 years at 1.5% interest.  </w:t>
      </w:r>
    </w:p>
    <w:p w:rsidR="00E739FA" w:rsidRDefault="00E739FA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  <w:r>
        <w:t>As required by the guidelines for the preparation of environmental impact statements, an environmental and anti</w:t>
      </w:r>
      <w:r w:rsidR="00F16A22">
        <w:t>-</w:t>
      </w:r>
      <w:r>
        <w:t>degradation review has been performed on the proposed project below: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</w:p>
    <w:p w:rsidR="00933BD5" w:rsidRPr="00F16A22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ind w:left="2160" w:hanging="2160"/>
        <w:jc w:val="both"/>
      </w:pPr>
      <w:r>
        <w:rPr>
          <w:b/>
          <w:bCs/>
        </w:rPr>
        <w:tab/>
      </w:r>
      <w:r w:rsidRPr="00F16A22">
        <w:rPr>
          <w:b/>
          <w:bCs/>
        </w:rPr>
        <w:t>Project</w:t>
      </w:r>
      <w:r w:rsidR="00D81639">
        <w:rPr>
          <w:b/>
          <w:bCs/>
        </w:rPr>
        <w:t xml:space="preserve"> Location:</w:t>
      </w:r>
      <w:r w:rsidRPr="00F16A22">
        <w:tab/>
      </w:r>
      <w:r w:rsidRPr="00F16A22">
        <w:tab/>
      </w:r>
      <w:r w:rsidRPr="00F16A22">
        <w:tab/>
        <w:t xml:space="preserve">Central Valley Water Reclamation Facility 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  <w:r w:rsidRPr="00F16A22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D81639">
        <w:t xml:space="preserve">          </w:t>
      </w:r>
      <w:r w:rsidR="007414E0">
        <w:t xml:space="preserve"> </w:t>
      </w:r>
      <w:r>
        <w:t>800 West Central Valley Road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1D6">
        <w:t>Salt Lake City, Utah</w:t>
      </w:r>
      <w:r>
        <w:t xml:space="preserve"> 84119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ind w:left="2160" w:hanging="2160"/>
        <w:jc w:val="both"/>
      </w:pPr>
      <w:r>
        <w:rPr>
          <w:b/>
          <w:bCs/>
        </w:rPr>
        <w:tab/>
      </w:r>
      <w:r w:rsidRPr="00F16A22">
        <w:rPr>
          <w:b/>
          <w:bCs/>
        </w:rPr>
        <w:t>Project Number:</w:t>
      </w:r>
      <w:r>
        <w:tab/>
      </w:r>
      <w:r>
        <w:tab/>
      </w:r>
      <w:r>
        <w:tab/>
        <w:t xml:space="preserve">SRF </w:t>
      </w:r>
      <w:r w:rsidR="00F16A22">
        <w:t>261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ind w:left="2160" w:hanging="2160"/>
        <w:jc w:val="both"/>
      </w:pPr>
    </w:p>
    <w:p w:rsidR="00933BD5" w:rsidRDefault="00933BD5" w:rsidP="009339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4680"/>
          <w:tab w:val="left" w:pos="5040"/>
          <w:tab w:val="left" w:pos="5400"/>
        </w:tabs>
        <w:ind w:left="2160" w:hanging="2160"/>
        <w:jc w:val="both"/>
      </w:pPr>
      <w:r>
        <w:rPr>
          <w:b/>
          <w:bCs/>
        </w:rPr>
        <w:tab/>
      </w:r>
      <w:r w:rsidR="00727C01">
        <w:rPr>
          <w:b/>
          <w:bCs/>
        </w:rPr>
        <w:t>Estimated</w:t>
      </w:r>
      <w:r w:rsidRPr="00F16A22">
        <w:rPr>
          <w:b/>
          <w:bCs/>
        </w:rPr>
        <w:t xml:space="preserve"> Project Cost:</w:t>
      </w:r>
      <w:r>
        <w:tab/>
        <w:t>$</w:t>
      </w:r>
      <w:r w:rsidR="00ED5AD7">
        <w:t>178</w:t>
      </w:r>
      <w:r>
        <w:t xml:space="preserve">,000,000 </w:t>
      </w:r>
    </w:p>
    <w:p w:rsidR="00933BD5" w:rsidRPr="000039D8" w:rsidRDefault="00933BD5" w:rsidP="00933BD5">
      <w:pPr>
        <w:jc w:val="both"/>
      </w:pPr>
      <w:r>
        <w:tab/>
      </w:r>
      <w:r>
        <w:tab/>
      </w:r>
      <w:r>
        <w:tab/>
      </w:r>
    </w:p>
    <w:p w:rsidR="00933BD5" w:rsidRDefault="00933BD5" w:rsidP="00ED5AD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320"/>
          <w:tab w:val="left" w:pos="4680"/>
          <w:tab w:val="left" w:pos="5040"/>
          <w:tab w:val="left" w:pos="5400"/>
        </w:tabs>
        <w:ind w:left="4320" w:hanging="4320"/>
        <w:jc w:val="both"/>
      </w:pPr>
      <w:r>
        <w:rPr>
          <w:b/>
          <w:bCs/>
        </w:rPr>
        <w:tab/>
      </w:r>
      <w:r w:rsidRPr="00F16A22">
        <w:rPr>
          <w:b/>
          <w:bCs/>
        </w:rPr>
        <w:t>Local/State/Federal Share:</w:t>
      </w:r>
      <w:r w:rsidR="00ED5AD7">
        <w:tab/>
      </w:r>
      <w:r>
        <w:t>$</w:t>
      </w:r>
      <w:r w:rsidR="00ED5AD7">
        <w:t>76</w:t>
      </w:r>
      <w:r>
        <w:t>,</w:t>
      </w:r>
      <w:r w:rsidR="00ED5AD7">
        <w:t>348</w:t>
      </w:r>
      <w:r>
        <w:t>,000</w:t>
      </w:r>
      <w:r w:rsidR="002C156A">
        <w:t xml:space="preserve"> ($65,100,000 to Central Valley Water Reclamation Facility and $11,248,000 to South Salt Lake City)</w:t>
      </w:r>
      <w:r w:rsidR="00ED1D23">
        <w:t xml:space="preserve"> from</w:t>
      </w:r>
      <w:r w:rsidR="002C156A">
        <w:t xml:space="preserve"> </w:t>
      </w:r>
      <w:r>
        <w:t>U</w:t>
      </w:r>
      <w:r w:rsidR="00ED5AD7">
        <w:t xml:space="preserve">tah Water Quality Board (UWQB) </w:t>
      </w:r>
      <w:r>
        <w:t>Loan</w:t>
      </w:r>
      <w:r w:rsidR="00F97922">
        <w:t>,</w:t>
      </w:r>
      <w:r w:rsidR="00D81639">
        <w:t xml:space="preserve"> </w:t>
      </w:r>
      <w:r>
        <w:t>$1</w:t>
      </w:r>
      <w:r w:rsidR="00ED5AD7">
        <w:t>00</w:t>
      </w:r>
      <w:r>
        <w:t>,</w:t>
      </w:r>
      <w:r w:rsidR="00ED5AD7">
        <w:t>711,000</w:t>
      </w:r>
      <w:r w:rsidR="00ED1D23">
        <w:t xml:space="preserve"> </w:t>
      </w:r>
      <w:r w:rsidR="00ED5AD7">
        <w:t>Local Contribution</w:t>
      </w:r>
      <w:r w:rsidR="00ED1D23">
        <w:t>,</w:t>
      </w:r>
      <w:r w:rsidR="00ED5AD7">
        <w:t xml:space="preserve"> </w:t>
      </w:r>
      <w:r w:rsidR="007D340A">
        <w:t>Central Valley Water Reclamation Facility</w:t>
      </w:r>
      <w:r>
        <w:t xml:space="preserve">.  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  <w:r>
        <w:tab/>
      </w:r>
    </w:p>
    <w:p w:rsidR="00E739FA" w:rsidRDefault="00E739FA" w:rsidP="00933BD5">
      <w:pPr>
        <w:autoSpaceDE w:val="0"/>
        <w:autoSpaceDN w:val="0"/>
        <w:adjustRightInd w:val="0"/>
        <w:jc w:val="both"/>
      </w:pPr>
    </w:p>
    <w:p w:rsidR="00FB16E2" w:rsidRDefault="00ED5AD7" w:rsidP="00933BD5">
      <w:pPr>
        <w:autoSpaceDE w:val="0"/>
        <w:autoSpaceDN w:val="0"/>
        <w:adjustRightInd w:val="0"/>
        <w:jc w:val="both"/>
      </w:pPr>
      <w:r>
        <w:t>Central Valley Water Reclamation Facility (CVWRF)</w:t>
      </w:r>
      <w:r w:rsidR="00933BD5">
        <w:t xml:space="preserve"> proposes to </w:t>
      </w:r>
      <w:r>
        <w:t xml:space="preserve">upgrade its existing mechanical plant to a </w:t>
      </w:r>
      <w:r w:rsidRPr="00727C01">
        <w:t xml:space="preserve">Biological Nutrient Removal </w:t>
      </w:r>
      <w:r w:rsidR="00FB16E2" w:rsidRPr="00727C01">
        <w:t xml:space="preserve">(BNR) </w:t>
      </w:r>
      <w:r w:rsidRPr="00727C01">
        <w:t>process</w:t>
      </w:r>
      <w:r w:rsidR="00933BD5" w:rsidRPr="00727C01">
        <w:t xml:space="preserve">. The </w:t>
      </w:r>
      <w:r w:rsidRPr="00727C01">
        <w:t>upgrade</w:t>
      </w:r>
      <w:r w:rsidR="00933BD5" w:rsidRPr="00727C01">
        <w:t xml:space="preserve"> is necessary </w:t>
      </w:r>
      <w:r w:rsidRPr="00727C01">
        <w:t>to comply with current nutrient regulations</w:t>
      </w:r>
      <w:r w:rsidR="00933BD5" w:rsidRPr="00727C01">
        <w:t>.</w:t>
      </w:r>
      <w:r w:rsidR="00933BD5">
        <w:t xml:space="preserve"> An Environmental Assessment (EA) was</w:t>
      </w:r>
      <w:r w:rsidR="00933BD5" w:rsidRPr="00A91612">
        <w:t xml:space="preserve"> </w:t>
      </w:r>
      <w:r w:rsidR="00933BD5">
        <w:t>prepared</w:t>
      </w:r>
      <w:r>
        <w:t xml:space="preserve"> </w:t>
      </w:r>
      <w:r w:rsidR="00FB16E2">
        <w:t xml:space="preserve">by Brown and Caldwell </w:t>
      </w:r>
      <w:r>
        <w:t xml:space="preserve">as part of CVWRF’s </w:t>
      </w:r>
      <w:r w:rsidR="00E739FA">
        <w:t>F</w:t>
      </w:r>
      <w:r>
        <w:t xml:space="preserve">acility </w:t>
      </w:r>
      <w:r w:rsidR="00E739FA">
        <w:t>P</w:t>
      </w:r>
      <w:r>
        <w:t>lan</w:t>
      </w:r>
      <w:r w:rsidR="00FB16E2">
        <w:t>.</w:t>
      </w:r>
      <w:r w:rsidR="00E739FA">
        <w:t xml:space="preserve"> </w:t>
      </w:r>
      <w:r w:rsidR="00FB16E2">
        <w:t>The EA evaluated</w:t>
      </w:r>
      <w:r w:rsidR="00933BD5" w:rsidRPr="00A91612">
        <w:t xml:space="preserve"> the potential environmental effects and</w:t>
      </w:r>
      <w:r w:rsidR="00933BD5">
        <w:t xml:space="preserve"> </w:t>
      </w:r>
      <w:r w:rsidR="00933BD5" w:rsidRPr="00A91612">
        <w:t>consequences of the propos</w:t>
      </w:r>
      <w:r w:rsidR="009A6C95">
        <w:t>ed upgrades</w:t>
      </w:r>
      <w:r w:rsidR="00933BD5" w:rsidRPr="00A91612">
        <w:t xml:space="preserve">. </w:t>
      </w:r>
    </w:p>
    <w:p w:rsidR="00DD31D6" w:rsidRDefault="00DD31D6" w:rsidP="00933BD5">
      <w:pPr>
        <w:autoSpaceDE w:val="0"/>
        <w:autoSpaceDN w:val="0"/>
        <w:adjustRightInd w:val="0"/>
        <w:jc w:val="both"/>
      </w:pPr>
      <w:r>
        <w:br w:type="page"/>
      </w:r>
    </w:p>
    <w:p w:rsidR="00FB16E2" w:rsidRDefault="00FB16E2" w:rsidP="00933BD5">
      <w:pPr>
        <w:autoSpaceDE w:val="0"/>
        <w:autoSpaceDN w:val="0"/>
        <w:adjustRightInd w:val="0"/>
        <w:jc w:val="both"/>
      </w:pPr>
    </w:p>
    <w:p w:rsidR="00933BD5" w:rsidRPr="00A91612" w:rsidRDefault="00933BD5" w:rsidP="00933BD5">
      <w:pPr>
        <w:autoSpaceDE w:val="0"/>
        <w:autoSpaceDN w:val="0"/>
        <w:adjustRightInd w:val="0"/>
        <w:jc w:val="both"/>
      </w:pPr>
      <w:r w:rsidRPr="00A91612">
        <w:t xml:space="preserve">This notice announces the availability of </w:t>
      </w:r>
      <w:r w:rsidRPr="00727C01">
        <w:t>the EA</w:t>
      </w:r>
      <w:r>
        <w:t xml:space="preserve"> </w:t>
      </w:r>
      <w:r w:rsidRPr="00A91612">
        <w:t>for public review and comment.</w:t>
      </w:r>
      <w:r w:rsidR="009B7C60">
        <w:t xml:space="preserve"> </w:t>
      </w:r>
      <w:hyperlink r:id="rId8" w:history="1">
        <w:r w:rsidRPr="009B7C60">
          <w:rPr>
            <w:rStyle w:val="Hyperlink"/>
          </w:rPr>
          <w:t>Ut</w:t>
        </w:r>
        <w:r w:rsidRPr="009B7C60">
          <w:rPr>
            <w:rStyle w:val="Hyperlink"/>
          </w:rPr>
          <w:t>a</w:t>
        </w:r>
        <w:r w:rsidRPr="009B7C60">
          <w:rPr>
            <w:rStyle w:val="Hyperlink"/>
          </w:rPr>
          <w:t>h Administrative Code</w:t>
        </w:r>
      </w:hyperlink>
      <w:r w:rsidR="00FB16E2">
        <w:t xml:space="preserve"> requires</w:t>
      </w:r>
      <w:r w:rsidRPr="00A91612">
        <w:t xml:space="preserve"> an</w:t>
      </w:r>
      <w:r>
        <w:t xml:space="preserve"> </w:t>
      </w:r>
      <w:r w:rsidRPr="00727C01">
        <w:t>anti</w:t>
      </w:r>
      <w:r w:rsidR="005E68A0" w:rsidRPr="00727C01">
        <w:t>-</w:t>
      </w:r>
      <w:r w:rsidRPr="00727C01">
        <w:t>degradation review (ADR)</w:t>
      </w:r>
      <w:r w:rsidRPr="00A91612">
        <w:t xml:space="preserve"> for any project that will increase the level of</w:t>
      </w:r>
      <w:r>
        <w:t xml:space="preserve"> </w:t>
      </w:r>
      <w:r w:rsidRPr="00A91612">
        <w:t xml:space="preserve">pollutants in waters of the state. </w:t>
      </w:r>
      <w:r w:rsidR="00FB16E2">
        <w:t>A</w:t>
      </w:r>
      <w:r w:rsidR="00FB16E2" w:rsidRPr="00A91612">
        <w:t xml:space="preserve"> Level II ADR was conducted for the proposed project</w:t>
      </w:r>
      <w:r w:rsidR="009B7C60">
        <w:t>,</w:t>
      </w:r>
      <w:r w:rsidR="00FB16E2" w:rsidRPr="00A91612">
        <w:t xml:space="preserve"> </w:t>
      </w:r>
      <w:r w:rsidR="00FB16E2">
        <w:t>a</w:t>
      </w:r>
      <w:r w:rsidRPr="00A91612">
        <w:t xml:space="preserve">s required for </w:t>
      </w:r>
      <w:r w:rsidR="007D340A">
        <w:t xml:space="preserve">increased design </w:t>
      </w:r>
      <w:r w:rsidRPr="00A91612">
        <w:t>discharges and discharges to Class 1C drinking</w:t>
      </w:r>
      <w:r>
        <w:t xml:space="preserve"> </w:t>
      </w:r>
      <w:r w:rsidRPr="00A91612">
        <w:t>water sources</w:t>
      </w:r>
      <w:r w:rsidR="00FB16E2">
        <w:t>.</w:t>
      </w:r>
      <w:r w:rsidR="009B7C60">
        <w:t xml:space="preserve"> </w:t>
      </w:r>
      <w:r w:rsidRPr="00A91612">
        <w:t>This notice also announces the</w:t>
      </w:r>
      <w:r>
        <w:t xml:space="preserve"> </w:t>
      </w:r>
      <w:r w:rsidRPr="00A91612">
        <w:t>availability of the A</w:t>
      </w:r>
      <w:r>
        <w:t>DR</w:t>
      </w:r>
      <w:r w:rsidRPr="00A91612">
        <w:t xml:space="preserve">, which is included </w:t>
      </w:r>
      <w:r w:rsidR="005E68A0">
        <w:t xml:space="preserve">in </w:t>
      </w:r>
      <w:r w:rsidRPr="00727C01">
        <w:t xml:space="preserve">Appendix </w:t>
      </w:r>
      <w:r w:rsidR="007D340A" w:rsidRPr="00727C01">
        <w:t>H</w:t>
      </w:r>
      <w:r>
        <w:t xml:space="preserve"> </w:t>
      </w:r>
      <w:r w:rsidRPr="00A91612">
        <w:t xml:space="preserve">in the </w:t>
      </w:r>
      <w:r w:rsidR="007D340A">
        <w:t>Facility Plan</w:t>
      </w:r>
      <w:r w:rsidRPr="00A91612">
        <w:t>.</w:t>
      </w:r>
    </w:p>
    <w:p w:rsidR="00933BD5" w:rsidRDefault="00933BD5" w:rsidP="00933BD5">
      <w:pPr>
        <w:jc w:val="both"/>
      </w:pPr>
    </w:p>
    <w:p w:rsidR="00933BD5" w:rsidRDefault="00933BD5" w:rsidP="00933BD5">
      <w:pPr>
        <w:widowControl w:val="0"/>
        <w:autoSpaceDE w:val="0"/>
        <w:autoSpaceDN w:val="0"/>
        <w:adjustRightInd w:val="0"/>
        <w:jc w:val="both"/>
      </w:pPr>
      <w:r>
        <w:t>The review process did not indicate significant environmental impacts would result from the proposed action.</w:t>
      </w:r>
      <w:r w:rsidR="00E739FA">
        <w:t xml:space="preserve"> C</w:t>
      </w:r>
      <w:r>
        <w:t xml:space="preserve">onsequently, </w:t>
      </w:r>
      <w:r w:rsidR="00E739FA">
        <w:t>the</w:t>
      </w:r>
      <w:r>
        <w:t xml:space="preserve"> preliminary decision </w:t>
      </w:r>
      <w:r w:rsidR="00E739FA">
        <w:t xml:space="preserve">is </w:t>
      </w:r>
      <w:r>
        <w:t xml:space="preserve">to </w:t>
      </w:r>
      <w:r w:rsidR="00E739FA">
        <w:t xml:space="preserve">not </w:t>
      </w:r>
      <w:r>
        <w:t>prepare an environmental impact statement (EIS)</w:t>
      </w:r>
      <w:r w:rsidR="00E739FA">
        <w:t>.</w:t>
      </w:r>
      <w:r>
        <w:t xml:space="preserve"> This action is taken on the basis of a careful review of the </w:t>
      </w:r>
      <w:r w:rsidR="009B7C60">
        <w:t>F</w:t>
      </w:r>
      <w:r w:rsidR="007D340A">
        <w:t xml:space="preserve">acility </w:t>
      </w:r>
      <w:r w:rsidR="009B7C60">
        <w:t>P</w:t>
      </w:r>
      <w:r w:rsidR="007D340A">
        <w:t>lan</w:t>
      </w:r>
      <w:r>
        <w:t>, environmental information documents,</w:t>
      </w:r>
      <w:r w:rsidR="00C57C8C">
        <w:t xml:space="preserve"> </w:t>
      </w:r>
      <w:r w:rsidR="009B7C60">
        <w:t>a</w:t>
      </w:r>
      <w:r>
        <w:t>ntidegradation review</w:t>
      </w:r>
      <w:r w:rsidR="009B7C60">
        <w:t>,</w:t>
      </w:r>
      <w:r>
        <w:t xml:space="preserve"> and other supporting information</w:t>
      </w:r>
      <w:r w:rsidR="00E739FA">
        <w:t xml:space="preserve">. These documents  </w:t>
      </w:r>
      <w:r>
        <w:t>are available for public review at the Utah Division of Water Quality, 195 North 1950 West, P</w:t>
      </w:r>
      <w:r w:rsidR="00C57C8C">
        <w:t>.</w:t>
      </w:r>
      <w:r>
        <w:t xml:space="preserve"> O</w:t>
      </w:r>
      <w:r w:rsidR="00C57C8C">
        <w:t>.</w:t>
      </w:r>
      <w:r>
        <w:t xml:space="preserve"> Box 144870, Salt Lake City, Utah 84114-4870</w:t>
      </w:r>
      <w:r w:rsidR="00C57C8C">
        <w:t>,</w:t>
      </w:r>
      <w:r>
        <w:t xml:space="preserve"> or </w:t>
      </w:r>
      <w:hyperlink r:id="rId9" w:history="1">
        <w:r w:rsidR="002256B0">
          <w:rPr>
            <w:rStyle w:val="Hyperlink"/>
          </w:rPr>
          <w:t>on</w:t>
        </w:r>
        <w:r w:rsidR="002256B0">
          <w:rPr>
            <w:rStyle w:val="Hyperlink"/>
          </w:rPr>
          <w:t>l</w:t>
        </w:r>
        <w:r w:rsidR="002256B0">
          <w:rPr>
            <w:rStyle w:val="Hyperlink"/>
          </w:rPr>
          <w:t>ine</w:t>
        </w:r>
      </w:hyperlink>
      <w:r w:rsidR="009B7C60" w:rsidRPr="002256B0">
        <w:rPr>
          <w:rStyle w:val="Hyperlink"/>
        </w:rPr>
        <w:t xml:space="preserve"> </w:t>
      </w:r>
      <w:r w:rsidR="00E739FA">
        <w:t>on</w:t>
      </w:r>
      <w:r w:rsidR="009B7C60">
        <w:t xml:space="preserve"> the D</w:t>
      </w:r>
      <w:r w:rsidR="00E739FA">
        <w:t>ivision of Water Quality</w:t>
      </w:r>
      <w:r w:rsidR="009B7C60">
        <w:t xml:space="preserve"> web</w:t>
      </w:r>
      <w:r w:rsidR="00E739FA">
        <w:t>pages</w:t>
      </w:r>
      <w:r>
        <w:t>.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ind w:firstLine="720"/>
        <w:jc w:val="both"/>
      </w:pPr>
    </w:p>
    <w:p w:rsidR="00C57C8C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  <w:r>
        <w:t xml:space="preserve">Comments supporting or disagreeing with this decision may be submitted for consideration to the Division of Water Quality, Attn. </w:t>
      </w:r>
      <w:r w:rsidR="007D340A">
        <w:t>Christine Osborne</w:t>
      </w:r>
      <w:r>
        <w:t>, P</w:t>
      </w:r>
      <w:r w:rsidR="009B7C60">
        <w:t>.</w:t>
      </w:r>
      <w:r>
        <w:t>O</w:t>
      </w:r>
      <w:r w:rsidR="009B7C60">
        <w:t>.</w:t>
      </w:r>
      <w:r>
        <w:t xml:space="preserve"> Box 144870, Salt Lake City, U</w:t>
      </w:r>
      <w:r w:rsidR="009B7C60">
        <w:t>tah,</w:t>
      </w:r>
      <w:r>
        <w:t xml:space="preserve"> 84114-4870. After evaluating the comments received, the agency will make a final decision</w:t>
      </w:r>
      <w:r w:rsidR="00E739FA">
        <w:t>.</w:t>
      </w:r>
      <w:r>
        <w:t xml:space="preserve"> </w:t>
      </w:r>
    </w:p>
    <w:p w:rsidR="00C57C8C" w:rsidRDefault="00C57C8C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</w:p>
    <w:p w:rsidR="00933BD5" w:rsidRDefault="00E739FA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  <w:r>
        <w:t>N</w:t>
      </w:r>
      <w:r w:rsidR="00933BD5">
        <w:t>o administrative action will be taken on</w:t>
      </w:r>
      <w:r w:rsidR="00DD31D6">
        <w:t xml:space="preserve"> the project for at least </w:t>
      </w:r>
      <w:r w:rsidR="00DD31D6" w:rsidRPr="00DD31D6">
        <w:rPr>
          <w:b/>
        </w:rPr>
        <w:t>30</w:t>
      </w:r>
      <w:r w:rsidR="00933BD5" w:rsidRPr="00DD31D6">
        <w:rPr>
          <w:b/>
        </w:rPr>
        <w:t xml:space="preserve"> calendar days</w:t>
      </w:r>
      <w:r w:rsidR="00933BD5">
        <w:t xml:space="preserve"> while advertising the Finding of No Significant Impact</w:t>
      </w:r>
      <w:r w:rsidR="009A6C95">
        <w:t>, Facility Plan,</w:t>
      </w:r>
      <w:r w:rsidR="00933BD5">
        <w:t xml:space="preserve"> and the </w:t>
      </w:r>
      <w:r w:rsidR="009B7C60">
        <w:t>a</w:t>
      </w:r>
      <w:r w:rsidR="00933BD5">
        <w:t xml:space="preserve">ntidegradation </w:t>
      </w:r>
      <w:r w:rsidR="009B7C60">
        <w:t>r</w:t>
      </w:r>
      <w:r w:rsidR="00933BD5">
        <w:t>eview.</w:t>
      </w: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</w:p>
    <w:p w:rsidR="00933BD5" w:rsidRDefault="00933BD5" w:rsidP="00933B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</w:tabs>
        <w:jc w:val="both"/>
      </w:pPr>
    </w:p>
    <w:p w:rsidR="00933BD5" w:rsidRDefault="007D340A" w:rsidP="007D340A">
      <w:pPr>
        <w:tabs>
          <w:tab w:val="right" w:pos="9360"/>
        </w:tabs>
      </w:pPr>
      <w:r>
        <w:tab/>
      </w:r>
    </w:p>
    <w:p w:rsidR="00933BD5" w:rsidRDefault="007D340A" w:rsidP="007D340A">
      <w:pPr>
        <w:tabs>
          <w:tab w:val="right" w:pos="9360"/>
        </w:tabs>
      </w:pPr>
      <w:r>
        <w:tab/>
      </w:r>
      <w:r w:rsidR="00933BD5">
        <w:t xml:space="preserve">Erica </w:t>
      </w:r>
      <w:r w:rsidR="00DD31D6">
        <w:t>Brown Gaddis, PhD</w:t>
      </w:r>
    </w:p>
    <w:p w:rsidR="009B7C60" w:rsidRDefault="007D340A" w:rsidP="007D340A">
      <w:pPr>
        <w:tabs>
          <w:tab w:val="right" w:pos="9360"/>
        </w:tabs>
      </w:pPr>
      <w:r>
        <w:tab/>
      </w:r>
      <w:r w:rsidR="00933BD5">
        <w:t>Executive Secretary</w:t>
      </w:r>
      <w:r w:rsidR="009B7C60">
        <w:t>, Utah Water Quality Board</w:t>
      </w:r>
    </w:p>
    <w:p w:rsidR="00933BD5" w:rsidRDefault="007D340A" w:rsidP="007D340A">
      <w:pPr>
        <w:tabs>
          <w:tab w:val="right" w:pos="9360"/>
        </w:tabs>
      </w:pPr>
      <w:r>
        <w:tab/>
      </w:r>
      <w:r w:rsidR="00DD31D6" w:rsidRPr="00DD31D6">
        <w:t>October 9</w:t>
      </w:r>
      <w:r w:rsidR="00933BD5" w:rsidRPr="00DD31D6">
        <w:t>, 201</w:t>
      </w:r>
      <w:r w:rsidR="00D81639" w:rsidRPr="00DD31D6">
        <w:t>9</w:t>
      </w:r>
    </w:p>
    <w:p w:rsidR="00933BD5" w:rsidRDefault="00933BD5" w:rsidP="00933BD5">
      <w:pPr>
        <w:tabs>
          <w:tab w:val="left" w:pos="7560"/>
        </w:tabs>
      </w:pPr>
    </w:p>
    <w:p w:rsidR="00602797" w:rsidRDefault="00933BD5" w:rsidP="00933BD5">
      <w:r w:rsidRPr="00C533FC">
        <w:rPr>
          <w:sz w:val="16"/>
          <w:szCs w:val="16"/>
        </w:rPr>
        <w:tab/>
      </w:r>
      <w:r w:rsidRPr="00C533FC">
        <w:rPr>
          <w:sz w:val="16"/>
          <w:szCs w:val="16"/>
        </w:rPr>
        <w:tab/>
      </w:r>
      <w:r w:rsidRPr="00C533FC">
        <w:rPr>
          <w:sz w:val="16"/>
          <w:szCs w:val="16"/>
        </w:rPr>
        <w:tab/>
      </w:r>
      <w:r w:rsidRPr="00C533FC">
        <w:rPr>
          <w:sz w:val="16"/>
          <w:szCs w:val="16"/>
        </w:rPr>
        <w:tab/>
      </w:r>
      <w:r w:rsidRPr="00C533FC">
        <w:rPr>
          <w:sz w:val="16"/>
          <w:szCs w:val="16"/>
        </w:rPr>
        <w:tab/>
      </w:r>
      <w:r w:rsidRPr="00C533FC">
        <w:rPr>
          <w:sz w:val="16"/>
          <w:szCs w:val="16"/>
        </w:rPr>
        <w:tab/>
      </w:r>
      <w:r w:rsidRPr="00C533FC">
        <w:rPr>
          <w:sz w:val="16"/>
          <w:szCs w:val="16"/>
        </w:rPr>
        <w:tab/>
      </w:r>
      <w:r w:rsidRPr="00C533FC">
        <w:rPr>
          <w:sz w:val="16"/>
          <w:szCs w:val="16"/>
        </w:rPr>
        <w:tab/>
      </w:r>
      <w:r w:rsidRPr="00C533FC">
        <w:rPr>
          <w:sz w:val="16"/>
          <w:szCs w:val="16"/>
        </w:rPr>
        <w:tab/>
      </w:r>
    </w:p>
    <w:p w:rsidR="00602797" w:rsidRDefault="00703692" w:rsidP="00602797">
      <w:pPr>
        <w:rPr>
          <w:smallCaps/>
          <w:sz w:val="12"/>
        </w:rPr>
      </w:pPr>
      <w:r>
        <w:rPr>
          <w:smallCaps/>
          <w:sz w:val="12"/>
        </w:rPr>
        <w:t>DWQ-21019-013464</w:t>
      </w:r>
    </w:p>
    <w:p w:rsidR="00CD5468" w:rsidRPr="00602797" w:rsidRDefault="00602797" w:rsidP="00463352">
      <w:r>
        <w:rPr>
          <w:smallCaps/>
          <w:sz w:val="12"/>
        </w:rPr>
        <w:t xml:space="preserve">File: </w:t>
      </w:r>
      <w:r w:rsidR="00240426">
        <w:rPr>
          <w:smallCaps/>
          <w:sz w:val="12"/>
        </w:rPr>
        <w:t xml:space="preserve">SRF-CVWRF, Planning, section </w:t>
      </w:r>
      <w:bookmarkStart w:id="0" w:name="_GoBack"/>
      <w:bookmarkEnd w:id="0"/>
      <w:r w:rsidR="00240426">
        <w:rPr>
          <w:smallCaps/>
          <w:sz w:val="12"/>
        </w:rPr>
        <w:t>3</w:t>
      </w:r>
      <w:r w:rsidR="00A634C2" w:rsidRPr="00463352">
        <w:t xml:space="preserve"> </w:t>
      </w:r>
    </w:p>
    <w:sectPr w:rsidR="00CD5468" w:rsidRPr="00602797" w:rsidSect="00870432">
      <w:headerReference w:type="default" r:id="rId10"/>
      <w:headerReference w:type="first" r:id="rId11"/>
      <w:footerReference w:type="first" r:id="rId12"/>
      <w:pgSz w:w="12240" w:h="15840" w:code="1"/>
      <w:pgMar w:top="1440" w:right="1440" w:bottom="1260" w:left="144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2B" w:rsidRDefault="00B5572B">
      <w:r>
        <w:separator/>
      </w:r>
    </w:p>
  </w:endnote>
  <w:endnote w:type="continuationSeparator" w:id="0">
    <w:p w:rsidR="00B5572B" w:rsidRDefault="00B5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CF" w:rsidRDefault="009F3111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>195 North 19</w:t>
    </w:r>
    <w:r w:rsidR="006A75CF">
      <w:rPr>
        <w:rFonts w:ascii="Times" w:hAnsi="Times"/>
        <w:caps w:val="0"/>
        <w:sz w:val="16"/>
      </w:rPr>
      <w:t>50 West • Salt Lake City, UT</w:t>
    </w:r>
  </w:p>
  <w:p w:rsidR="006A75CF" w:rsidRDefault="006A75CF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>Mailing Address:  P.O. Box 144870 • Salt Lake City, UT  84114-4870</w:t>
    </w:r>
  </w:p>
  <w:p w:rsidR="006A75CF" w:rsidRDefault="006A75CF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 xml:space="preserve">Telephone (801) 536-4300 • Fax (801) 536-4301 • T.D.D.  (801) </w:t>
    </w:r>
    <w:r w:rsidR="00953FB5">
      <w:rPr>
        <w:rFonts w:ascii="Times" w:hAnsi="Times"/>
        <w:caps w:val="0"/>
        <w:sz w:val="16"/>
      </w:rPr>
      <w:t>536-4284</w:t>
    </w:r>
  </w:p>
  <w:p w:rsidR="006A75CF" w:rsidRPr="00633A2A" w:rsidRDefault="006A75CF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i/>
        <w:iCs/>
        <w:caps w:val="0"/>
        <w:sz w:val="14"/>
      </w:rPr>
    </w:pPr>
    <w:r w:rsidRPr="00633A2A">
      <w:rPr>
        <w:rFonts w:ascii="Times" w:hAnsi="Times"/>
        <w:i/>
        <w:iCs/>
        <w:caps w:val="0"/>
        <w:sz w:val="14"/>
      </w:rPr>
      <w:t>www.deq.utah.gov</w:t>
    </w:r>
  </w:p>
  <w:p w:rsidR="006A75CF" w:rsidRPr="00633A2A" w:rsidRDefault="006A75CF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caps w:val="0"/>
        <w:sz w:val="14"/>
      </w:rPr>
    </w:pPr>
    <w:r w:rsidRPr="00633A2A">
      <w:rPr>
        <w:rFonts w:ascii="Times" w:hAnsi="Times"/>
        <w:caps w:val="0"/>
        <w:sz w:val="14"/>
      </w:rPr>
      <w:t>Printed on 100% recycled paper</w:t>
    </w:r>
  </w:p>
  <w:p w:rsidR="006A75CF" w:rsidRDefault="006A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2B" w:rsidRDefault="00B5572B">
      <w:r>
        <w:separator/>
      </w:r>
    </w:p>
  </w:footnote>
  <w:footnote w:type="continuationSeparator" w:id="0">
    <w:p w:rsidR="00B5572B" w:rsidRDefault="00B5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CF" w:rsidRDefault="0013094E" w:rsidP="0013094E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1D6">
      <w:rPr>
        <w:rStyle w:val="PageNumber"/>
        <w:noProof/>
      </w:rPr>
      <w:t>2</w:t>
    </w:r>
    <w:r>
      <w:rPr>
        <w:rStyle w:val="PageNumber"/>
      </w:rPr>
      <w:fldChar w:fldCharType="end"/>
    </w:r>
  </w:p>
  <w:p w:rsidR="00DD31D6" w:rsidRDefault="00DD31D6" w:rsidP="0013094E">
    <w:pPr>
      <w:pStyle w:val="Header"/>
      <w:rPr>
        <w:b/>
        <w:bCs/>
      </w:rPr>
    </w:pPr>
    <w:r w:rsidRPr="00F16A22">
      <w:rPr>
        <w:b/>
        <w:bCs/>
      </w:rPr>
      <w:t>CENTRAL VALLEY WATER RECLAMATION FACILITY</w:t>
    </w:r>
  </w:p>
  <w:p w:rsidR="00DD31D6" w:rsidRPr="0013094E" w:rsidRDefault="00DD31D6" w:rsidP="0013094E">
    <w:pPr>
      <w:pStyle w:val="Header"/>
    </w:pPr>
    <w:r w:rsidRPr="00F16A22">
      <w:rPr>
        <w:b/>
        <w:bCs/>
      </w:rPr>
      <w:t>PUBLIC NOTICE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CF" w:rsidRDefault="00DD31D6" w:rsidP="00CF76B9">
    <w:pPr>
      <w:pStyle w:val="Header"/>
      <w:tabs>
        <w:tab w:val="clear" w:pos="4320"/>
        <w:tab w:val="clear" w:pos="8640"/>
        <w:tab w:val="left" w:pos="6949"/>
      </w:tabs>
      <w:spacing w:before="2520"/>
    </w:pPr>
    <w:r>
      <w:rPr>
        <w:noProof/>
        <w:sz w:val="20"/>
      </w:rPr>
      <w:drawing>
        <wp:anchor distT="0" distB="0" distL="114300" distR="114300" simplePos="0" relativeHeight="251661824" behindDoc="0" locked="0" layoutInCell="1" allowOverlap="1" wp14:anchorId="0A522109" wp14:editId="0BCA1A02">
          <wp:simplePos x="0" y="0"/>
          <wp:positionH relativeFrom="column">
            <wp:posOffset>-241935</wp:posOffset>
          </wp:positionH>
          <wp:positionV relativeFrom="paragraph">
            <wp:posOffset>-260985</wp:posOffset>
          </wp:positionV>
          <wp:extent cx="1069340" cy="871220"/>
          <wp:effectExtent l="0" t="0" r="0" b="5080"/>
          <wp:wrapSquare wrapText="bothSides"/>
          <wp:docPr id="6" name="Picture 6" descr="statesea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seal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1D6">
      <w:rPr>
        <w:noProof/>
        <w:color w:val="4F81BD" w:themeColor="accent1"/>
        <w:sz w:val="20"/>
      </w:rPr>
      <w:drawing>
        <wp:anchor distT="0" distB="0" distL="114300" distR="114300" simplePos="0" relativeHeight="251657728" behindDoc="0" locked="0" layoutInCell="1" allowOverlap="1" wp14:anchorId="3AD8F91D" wp14:editId="30D9A055">
          <wp:simplePos x="0" y="0"/>
          <wp:positionH relativeFrom="column">
            <wp:posOffset>-142875</wp:posOffset>
          </wp:positionH>
          <wp:positionV relativeFrom="paragraph">
            <wp:posOffset>-160020</wp:posOffset>
          </wp:positionV>
          <wp:extent cx="762000" cy="753745"/>
          <wp:effectExtent l="0" t="0" r="0" b="8255"/>
          <wp:wrapSquare wrapText="bothSides"/>
          <wp:docPr id="4" name="Picture 4" descr="statesea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sealBlu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E59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50B3FC" wp14:editId="2A15C654">
              <wp:simplePos x="0" y="0"/>
              <wp:positionH relativeFrom="column">
                <wp:posOffset>4572000</wp:posOffset>
              </wp:positionH>
              <wp:positionV relativeFrom="paragraph">
                <wp:posOffset>-114300</wp:posOffset>
              </wp:positionV>
              <wp:extent cx="1677670" cy="18288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CF" w:rsidRDefault="006A75CF" w:rsidP="00CC060A">
                          <w:pPr>
                            <w:jc w:val="right"/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Water Quality Board</w:t>
                          </w:r>
                        </w:p>
                        <w:p w:rsidR="006A75CF" w:rsidRDefault="007429DA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Jennifer Grant</w:t>
                          </w:r>
                          <w:r w:rsidR="00BD4296">
                            <w:rPr>
                              <w:sz w:val="16"/>
                            </w:rPr>
                            <w:t xml:space="preserve">, </w:t>
                          </w:r>
                          <w:r w:rsidR="000438B4">
                            <w:rPr>
                              <w:sz w:val="16"/>
                            </w:rPr>
                            <w:t>Chair</w:t>
                          </w:r>
                        </w:p>
                        <w:p w:rsidR="00BD4296" w:rsidRDefault="00BD4296" w:rsidP="00BD429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Gregg A. Galecki, Vice Chair</w:t>
                          </w:r>
                        </w:p>
                        <w:p w:rsidR="0036100A" w:rsidRDefault="006B2089" w:rsidP="006B2089">
                          <w:pPr>
                            <w:ind w:left="7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        </w:t>
                          </w:r>
                          <w:r w:rsidR="005F34A8">
                            <w:rPr>
                              <w:sz w:val="16"/>
                            </w:rPr>
                            <w:t>Steven K. Earley</w:t>
                          </w:r>
                        </w:p>
                        <w:p w:rsidR="006A75CF" w:rsidRDefault="006B2089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Brandon Gordon</w:t>
                          </w:r>
                        </w:p>
                        <w:p w:rsidR="006B2089" w:rsidRDefault="006B2089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Michael D. Luers</w:t>
                          </w:r>
                        </w:p>
                        <w:p w:rsidR="006A75CF" w:rsidRDefault="00031858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L. Scott Baird</w:t>
                          </w:r>
                        </w:p>
                        <w:p w:rsidR="006B2089" w:rsidRDefault="006B2089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Emily Niehaus </w:t>
                          </w:r>
                        </w:p>
                        <w:p w:rsidR="00470850" w:rsidRDefault="00D43724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James Webb</w:t>
                          </w:r>
                        </w:p>
                        <w:p w:rsidR="00CF6B31" w:rsidRDefault="00CF6B31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Dr. James </w:t>
                          </w:r>
                          <w:r w:rsidR="007429DA"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z w:val="16"/>
                            </w:rPr>
                            <w:t>Derslice</w:t>
                          </w:r>
                        </w:p>
                        <w:p w:rsidR="006A75CF" w:rsidRDefault="009E6876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Dr. </w:t>
                          </w:r>
                          <w:r w:rsidR="005F3669">
                            <w:rPr>
                              <w:sz w:val="16"/>
                            </w:rPr>
                            <w:t>Erica Brown Gaddis</w:t>
                          </w:r>
                        </w:p>
                        <w:p w:rsidR="006A75CF" w:rsidRDefault="006A75CF" w:rsidP="00CC060A">
                          <w:pPr>
                            <w:jc w:val="right"/>
                            <w:rPr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</w:rPr>
                            <w:t xml:space="preserve"> Executive Secretary</w:t>
                          </w:r>
                        </w:p>
                        <w:p w:rsidR="006A75CF" w:rsidRDefault="006A75CF" w:rsidP="00CC06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in;margin-top:-9pt;width:132.1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a5hA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" stroked="f">
              <v:textbox>
                <w:txbxContent>
                  <w:p w:rsidR="006A75CF" w:rsidRDefault="006A75CF" w:rsidP="00CC060A">
                    <w:pPr>
                      <w:jc w:val="right"/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Water Quality Board</w:t>
                    </w:r>
                  </w:p>
                  <w:p w:rsidR="006A75CF" w:rsidRDefault="007429DA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Jennifer Grant</w:t>
                    </w:r>
                    <w:r w:rsidR="00BD4296">
                      <w:rPr>
                        <w:sz w:val="16"/>
                      </w:rPr>
                      <w:t xml:space="preserve">, </w:t>
                    </w:r>
                    <w:r w:rsidR="000438B4">
                      <w:rPr>
                        <w:sz w:val="16"/>
                      </w:rPr>
                      <w:t>Chair</w:t>
                    </w:r>
                  </w:p>
                  <w:p w:rsidR="00BD4296" w:rsidRDefault="00BD4296" w:rsidP="00BD429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Gregg A. </w:t>
                    </w:r>
                    <w:proofErr w:type="spellStart"/>
                    <w:r>
                      <w:rPr>
                        <w:sz w:val="16"/>
                      </w:rPr>
                      <w:t>Galecki</w:t>
                    </w:r>
                    <w:proofErr w:type="spellEnd"/>
                    <w:r>
                      <w:rPr>
                        <w:sz w:val="16"/>
                      </w:rPr>
                      <w:t>, Vice Chair</w:t>
                    </w:r>
                  </w:p>
                  <w:p w:rsidR="0036100A" w:rsidRDefault="006B2089" w:rsidP="006B2089">
                    <w:pPr>
                      <w:ind w:left="7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        </w:t>
                    </w:r>
                    <w:r w:rsidR="005F34A8">
                      <w:rPr>
                        <w:sz w:val="16"/>
                      </w:rPr>
                      <w:t>Steven K. Earley</w:t>
                    </w:r>
                  </w:p>
                  <w:p w:rsidR="006A75CF" w:rsidRDefault="006B2089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Brandon Gordon</w:t>
                    </w:r>
                  </w:p>
                  <w:p w:rsidR="006B2089" w:rsidRDefault="006B2089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Michael D. </w:t>
                    </w:r>
                    <w:proofErr w:type="spellStart"/>
                    <w:r>
                      <w:rPr>
                        <w:sz w:val="16"/>
                      </w:rPr>
                      <w:t>Luers</w:t>
                    </w:r>
                    <w:proofErr w:type="spellEnd"/>
                  </w:p>
                  <w:p w:rsidR="006A75CF" w:rsidRDefault="00031858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L. Scott Baird</w:t>
                    </w:r>
                  </w:p>
                  <w:p w:rsidR="006B2089" w:rsidRDefault="006B2089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Emily </w:t>
                    </w:r>
                    <w:proofErr w:type="spellStart"/>
                    <w:r>
                      <w:rPr>
                        <w:sz w:val="16"/>
                      </w:rPr>
                      <w:t>Niehaus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</w:p>
                  <w:p w:rsidR="00470850" w:rsidRDefault="00D43724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James Webb</w:t>
                    </w:r>
                  </w:p>
                  <w:p w:rsidR="00CF6B31" w:rsidRDefault="00CF6B31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Dr. James </w:t>
                    </w:r>
                    <w:r w:rsidR="007429DA">
                      <w:rPr>
                        <w:sz w:val="16"/>
                      </w:rPr>
                      <w:t>Van</w:t>
                    </w:r>
                    <w:r>
                      <w:rPr>
                        <w:sz w:val="16"/>
                      </w:rPr>
                      <w:t>Derslice</w:t>
                    </w:r>
                  </w:p>
                  <w:p w:rsidR="006A75CF" w:rsidRDefault="009E6876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Dr. </w:t>
                    </w:r>
                    <w:r w:rsidR="005F3669">
                      <w:rPr>
                        <w:sz w:val="16"/>
                      </w:rPr>
                      <w:t>Erica Brown Gaddis</w:t>
                    </w:r>
                  </w:p>
                  <w:p w:rsidR="006A75CF" w:rsidRDefault="006A75CF" w:rsidP="00CC060A">
                    <w:pPr>
                      <w:jc w:val="right"/>
                      <w:rPr>
                        <w:i/>
                        <w:iCs/>
                        <w:sz w:val="16"/>
                      </w:rPr>
                    </w:pPr>
                    <w:r>
                      <w:rPr>
                        <w:i/>
                        <w:iCs/>
                        <w:sz w:val="16"/>
                      </w:rPr>
                      <w:t xml:space="preserve"> Executive Secretary</w:t>
                    </w:r>
                  </w:p>
                  <w:p w:rsidR="006A75CF" w:rsidRDefault="006A75CF" w:rsidP="00CC060A"/>
                </w:txbxContent>
              </v:textbox>
            </v:shape>
          </w:pict>
        </mc:Fallback>
      </mc:AlternateContent>
    </w:r>
    <w:r w:rsidR="00C46E59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66610E" wp14:editId="12A61614">
              <wp:simplePos x="0" y="0"/>
              <wp:positionH relativeFrom="column">
                <wp:posOffset>1209675</wp:posOffset>
              </wp:positionH>
              <wp:positionV relativeFrom="paragraph">
                <wp:posOffset>-128905</wp:posOffset>
              </wp:positionV>
              <wp:extent cx="2004695" cy="1510030"/>
              <wp:effectExtent l="0" t="444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51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CF" w:rsidRDefault="006A75CF" w:rsidP="00352960">
                          <w:pPr>
                            <w:jc w:val="center"/>
                            <w:rPr>
                              <w:rFonts w:ascii="Times" w:hAnsi="Times"/>
                              <w:sz w:val="26"/>
                            </w:rPr>
                          </w:pPr>
                          <w:r>
                            <w:rPr>
                              <w:rFonts w:ascii="Times" w:hAnsi="Times"/>
                              <w:sz w:val="26"/>
                            </w:rPr>
                            <w:t>Department of Environmental Quality</w:t>
                          </w:r>
                        </w:p>
                        <w:p w:rsidR="006A75CF" w:rsidRPr="00E64E48" w:rsidRDefault="006A75CF" w:rsidP="00352960">
                          <w:pPr>
                            <w:jc w:val="center"/>
                            <w:rPr>
                              <w:rFonts w:ascii="Times" w:hAnsi="Times"/>
                              <w:sz w:val="12"/>
                              <w:szCs w:val="12"/>
                            </w:rPr>
                          </w:pPr>
                        </w:p>
                        <w:p w:rsidR="006A75CF" w:rsidRDefault="00031858" w:rsidP="009F1689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L. Scott Baird</w:t>
                          </w:r>
                        </w:p>
                        <w:p w:rsidR="006A75CF" w:rsidRDefault="006A75CF" w:rsidP="00265046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Executive Director</w:t>
                          </w:r>
                        </w:p>
                        <w:p w:rsidR="006A75CF" w:rsidRDefault="006A75CF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6A75CF" w:rsidRDefault="006A75CF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DIVISION OF WATER QUALITY</w:t>
                          </w:r>
                        </w:p>
                        <w:p w:rsidR="006A75CF" w:rsidRDefault="003C23AE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Erica Brown Gaddis, PhD</w:t>
                          </w:r>
                        </w:p>
                        <w:p w:rsidR="006A75CF" w:rsidRPr="00CF76B9" w:rsidRDefault="006A75CF" w:rsidP="00CF76B9">
                          <w:pPr>
                            <w:pStyle w:val="Heading8"/>
                            <w:rPr>
                              <w:sz w:val="16"/>
                              <w:szCs w:val="16"/>
                            </w:rPr>
                          </w:pPr>
                          <w:r w:rsidRPr="00CF76B9">
                            <w:rPr>
                              <w:sz w:val="16"/>
                              <w:szCs w:val="1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95.25pt;margin-top:-10.15pt;width:157.85pt;height:1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XShg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" stroked="f">
              <v:textbox>
                <w:txbxContent>
                  <w:p w:rsidR="006A75CF" w:rsidRDefault="006A75CF" w:rsidP="00352960">
                    <w:pPr>
                      <w:jc w:val="center"/>
                      <w:rPr>
                        <w:rFonts w:ascii="Times" w:hAnsi="Times"/>
                        <w:sz w:val="26"/>
                      </w:rPr>
                    </w:pPr>
                    <w:r>
                      <w:rPr>
                        <w:rFonts w:ascii="Times" w:hAnsi="Times"/>
                        <w:sz w:val="26"/>
                      </w:rPr>
                      <w:t>Department of Environmental Quality</w:t>
                    </w:r>
                  </w:p>
                  <w:p w:rsidR="006A75CF" w:rsidRPr="00E64E48" w:rsidRDefault="006A75CF" w:rsidP="00352960">
                    <w:pPr>
                      <w:jc w:val="center"/>
                      <w:rPr>
                        <w:rFonts w:ascii="Times" w:hAnsi="Times"/>
                        <w:sz w:val="12"/>
                        <w:szCs w:val="12"/>
                      </w:rPr>
                    </w:pPr>
                  </w:p>
                  <w:p w:rsidR="006A75CF" w:rsidRDefault="00031858" w:rsidP="009F1689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L. Scott Baird</w:t>
                    </w:r>
                  </w:p>
                  <w:p w:rsidR="006A75CF" w:rsidRDefault="006A75CF" w:rsidP="00265046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Executive Director</w:t>
                    </w:r>
                  </w:p>
                  <w:p w:rsidR="006A75CF" w:rsidRDefault="006A75CF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6A75CF" w:rsidRDefault="006A75CF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DIVISION OF WATER QUALITY</w:t>
                    </w:r>
                  </w:p>
                  <w:p w:rsidR="006A75CF" w:rsidRDefault="003C23AE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Erica Brown Gaddis, PhD</w:t>
                    </w:r>
                  </w:p>
                  <w:p w:rsidR="006A75CF" w:rsidRPr="00CF76B9" w:rsidRDefault="006A75CF" w:rsidP="00CF76B9">
                    <w:pPr>
                      <w:pStyle w:val="Heading8"/>
                      <w:rPr>
                        <w:sz w:val="16"/>
                        <w:szCs w:val="16"/>
                      </w:rPr>
                    </w:pPr>
                    <w:r w:rsidRPr="00CF76B9">
                      <w:rPr>
                        <w:sz w:val="16"/>
                        <w:szCs w:val="1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 w:rsidR="00C46E59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A9B564" wp14:editId="71A072AD">
              <wp:simplePos x="0" y="0"/>
              <wp:positionH relativeFrom="column">
                <wp:posOffset>1143000</wp:posOffset>
              </wp:positionH>
              <wp:positionV relativeFrom="paragraph">
                <wp:posOffset>-256540</wp:posOffset>
              </wp:positionV>
              <wp:extent cx="0" cy="1714500"/>
              <wp:effectExtent l="19050" t="19685" r="19050" b="2794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20.2pt" to="90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" strokeweight="3pt">
              <w10:wrap type="square"/>
            </v:line>
          </w:pict>
        </mc:Fallback>
      </mc:AlternateContent>
    </w:r>
    <w:r w:rsidR="00C46E59"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5C3D47" wp14:editId="74A78BF4">
              <wp:simplePos x="0" y="0"/>
              <wp:positionH relativeFrom="column">
                <wp:posOffset>-609600</wp:posOffset>
              </wp:positionH>
              <wp:positionV relativeFrom="paragraph">
                <wp:posOffset>606425</wp:posOffset>
              </wp:positionV>
              <wp:extent cx="1676400" cy="106426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CF" w:rsidRDefault="006A75CF">
                          <w:pPr>
                            <w:jc w:val="center"/>
                            <w:rPr>
                              <w:rFonts w:ascii="Times" w:hAnsi="Times"/>
                              <w:sz w:val="28"/>
                            </w:rPr>
                          </w:pPr>
                          <w:r>
                            <w:rPr>
                              <w:rFonts w:ascii="Times" w:hAnsi="Times"/>
                              <w:sz w:val="28"/>
                            </w:rPr>
                            <w:t xml:space="preserve">State of Utah </w:t>
                          </w:r>
                        </w:p>
                        <w:p w:rsidR="006A75CF" w:rsidRPr="00CF76B9" w:rsidRDefault="006A75CF">
                          <w:pPr>
                            <w:jc w:val="center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</w:p>
                        <w:p w:rsidR="006A75CF" w:rsidRDefault="006A75CF" w:rsidP="00951D1C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GARY R. HERBERT</w:t>
                          </w:r>
                        </w:p>
                        <w:p w:rsidR="006A75CF" w:rsidRDefault="006A75CF" w:rsidP="00951D1C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Governor</w:t>
                          </w:r>
                        </w:p>
                        <w:p w:rsidR="006A75CF" w:rsidRDefault="006A75CF" w:rsidP="00951D1C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6A75CF" w:rsidRDefault="004665C1" w:rsidP="00951D1C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SPENCER J. COX</w:t>
                          </w:r>
                        </w:p>
                        <w:p w:rsidR="006A75CF" w:rsidRDefault="006A75CF" w:rsidP="00951D1C">
                          <w:pPr>
                            <w:pStyle w:val="Heading8"/>
                          </w:pPr>
                          <w:r>
                            <w:rPr>
                              <w:sz w:val="16"/>
                            </w:rPr>
                            <w:t>Lieutenant Governor</w:t>
                          </w:r>
                        </w:p>
                        <w:p w:rsidR="006A75CF" w:rsidRDefault="006A75CF" w:rsidP="00951D1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8pt;margin-top:47.75pt;width:132pt;height:8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ur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" filled="f" stroked="f">
              <v:textbox>
                <w:txbxContent>
                  <w:p w:rsidR="006A75CF" w:rsidRDefault="006A75CF">
                    <w:pPr>
                      <w:jc w:val="center"/>
                      <w:rPr>
                        <w:rFonts w:ascii="Times" w:hAnsi="Times"/>
                        <w:sz w:val="28"/>
                      </w:rPr>
                    </w:pPr>
                    <w:r>
                      <w:rPr>
                        <w:rFonts w:ascii="Times" w:hAnsi="Times"/>
                        <w:sz w:val="28"/>
                      </w:rPr>
                      <w:t xml:space="preserve">State of Utah </w:t>
                    </w:r>
                  </w:p>
                  <w:p w:rsidR="006A75CF" w:rsidRPr="00CF76B9" w:rsidRDefault="006A75CF">
                    <w:pPr>
                      <w:jc w:val="center"/>
                      <w:rPr>
                        <w:rFonts w:ascii="Times" w:hAnsi="Times"/>
                        <w:sz w:val="16"/>
                        <w:szCs w:val="16"/>
                      </w:rPr>
                    </w:pPr>
                  </w:p>
                  <w:p w:rsidR="006A75CF" w:rsidRDefault="006A75CF" w:rsidP="00951D1C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GARY R. HERBERT</w:t>
                    </w:r>
                  </w:p>
                  <w:p w:rsidR="006A75CF" w:rsidRDefault="006A75CF" w:rsidP="00951D1C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Governor</w:t>
                    </w:r>
                  </w:p>
                  <w:p w:rsidR="006A75CF" w:rsidRDefault="006A75CF" w:rsidP="00951D1C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6A75CF" w:rsidRDefault="004665C1" w:rsidP="00951D1C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SPENCER J. COX</w:t>
                    </w:r>
                  </w:p>
                  <w:p w:rsidR="006A75CF" w:rsidRDefault="006A75CF" w:rsidP="00951D1C">
                    <w:pPr>
                      <w:pStyle w:val="Heading8"/>
                    </w:pPr>
                    <w:r>
                      <w:rPr>
                        <w:sz w:val="16"/>
                      </w:rPr>
                      <w:t>Lieutenant Governor</w:t>
                    </w:r>
                  </w:p>
                  <w:p w:rsidR="006A75CF" w:rsidRDefault="006A75CF" w:rsidP="00951D1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7ED"/>
    <w:multiLevelType w:val="multilevel"/>
    <w:tmpl w:val="02921D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72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SmallCapout1"/>
      <w:lvlText w:val="–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C68075F"/>
    <w:multiLevelType w:val="multilevel"/>
    <w:tmpl w:val="4FECA686"/>
    <w:lvl w:ilvl="0">
      <w:start w:val="1"/>
      <w:numFmt w:val="decimal"/>
      <w:pStyle w:val="Outlinesmcap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355C46BD"/>
    <w:multiLevelType w:val="multilevel"/>
    <w:tmpl w:val="3F226A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Outline3dash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">
    <w:nsid w:val="52670675"/>
    <w:multiLevelType w:val="multilevel"/>
    <w:tmpl w:val="DC067688"/>
    <w:lvl w:ilvl="0">
      <w:start w:val="1"/>
      <w:numFmt w:val="decimal"/>
      <w:pStyle w:val="ARoutlin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4">
    <w:nsid w:val="5D247443"/>
    <w:multiLevelType w:val="multilevel"/>
    <w:tmpl w:val="2D848E30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AE"/>
    <w:rsid w:val="00031858"/>
    <w:rsid w:val="00034841"/>
    <w:rsid w:val="000438B4"/>
    <w:rsid w:val="00045A68"/>
    <w:rsid w:val="0007726F"/>
    <w:rsid w:val="00095919"/>
    <w:rsid w:val="000B2CDB"/>
    <w:rsid w:val="000C7928"/>
    <w:rsid w:val="000D748D"/>
    <w:rsid w:val="000F1833"/>
    <w:rsid w:val="000F67D7"/>
    <w:rsid w:val="000F70D0"/>
    <w:rsid w:val="0013094E"/>
    <w:rsid w:val="00150F4B"/>
    <w:rsid w:val="001650A0"/>
    <w:rsid w:val="001E1BA7"/>
    <w:rsid w:val="002256B0"/>
    <w:rsid w:val="00230522"/>
    <w:rsid w:val="002401EA"/>
    <w:rsid w:val="00240426"/>
    <w:rsid w:val="00265046"/>
    <w:rsid w:val="00265B21"/>
    <w:rsid w:val="002A16C8"/>
    <w:rsid w:val="002A16EA"/>
    <w:rsid w:val="002B04DC"/>
    <w:rsid w:val="002C156A"/>
    <w:rsid w:val="00333227"/>
    <w:rsid w:val="00352960"/>
    <w:rsid w:val="003566B8"/>
    <w:rsid w:val="0036100A"/>
    <w:rsid w:val="00365B41"/>
    <w:rsid w:val="003704B1"/>
    <w:rsid w:val="003751F8"/>
    <w:rsid w:val="003913CD"/>
    <w:rsid w:val="003A25FF"/>
    <w:rsid w:val="003C23AE"/>
    <w:rsid w:val="003C5942"/>
    <w:rsid w:val="003C7C2F"/>
    <w:rsid w:val="004159FA"/>
    <w:rsid w:val="00423EA9"/>
    <w:rsid w:val="00457280"/>
    <w:rsid w:val="00463352"/>
    <w:rsid w:val="004665C1"/>
    <w:rsid w:val="00470850"/>
    <w:rsid w:val="00504372"/>
    <w:rsid w:val="00530AAE"/>
    <w:rsid w:val="00591790"/>
    <w:rsid w:val="005B2D31"/>
    <w:rsid w:val="005D0E79"/>
    <w:rsid w:val="005E413D"/>
    <w:rsid w:val="005E68A0"/>
    <w:rsid w:val="005F34A8"/>
    <w:rsid w:val="005F3669"/>
    <w:rsid w:val="00602797"/>
    <w:rsid w:val="00633A2A"/>
    <w:rsid w:val="0065044C"/>
    <w:rsid w:val="00650DBC"/>
    <w:rsid w:val="00653AB3"/>
    <w:rsid w:val="00692720"/>
    <w:rsid w:val="006A75CF"/>
    <w:rsid w:val="006B2089"/>
    <w:rsid w:val="006C32CE"/>
    <w:rsid w:val="00703692"/>
    <w:rsid w:val="007159BE"/>
    <w:rsid w:val="00727C01"/>
    <w:rsid w:val="00730004"/>
    <w:rsid w:val="00740CA0"/>
    <w:rsid w:val="007414E0"/>
    <w:rsid w:val="007429DA"/>
    <w:rsid w:val="007602D4"/>
    <w:rsid w:val="007663EA"/>
    <w:rsid w:val="007C1EB0"/>
    <w:rsid w:val="007C273A"/>
    <w:rsid w:val="007D340A"/>
    <w:rsid w:val="007E42EA"/>
    <w:rsid w:val="00823225"/>
    <w:rsid w:val="008242E1"/>
    <w:rsid w:val="00827838"/>
    <w:rsid w:val="00861828"/>
    <w:rsid w:val="00862771"/>
    <w:rsid w:val="00870432"/>
    <w:rsid w:val="00891770"/>
    <w:rsid w:val="008A6207"/>
    <w:rsid w:val="008A622B"/>
    <w:rsid w:val="008B1F9B"/>
    <w:rsid w:val="009258FD"/>
    <w:rsid w:val="00933915"/>
    <w:rsid w:val="00933BD5"/>
    <w:rsid w:val="00951D1C"/>
    <w:rsid w:val="00953FB5"/>
    <w:rsid w:val="009762EE"/>
    <w:rsid w:val="00987411"/>
    <w:rsid w:val="00996EB4"/>
    <w:rsid w:val="009A6C95"/>
    <w:rsid w:val="009B7C60"/>
    <w:rsid w:val="009E6876"/>
    <w:rsid w:val="009F1689"/>
    <w:rsid w:val="009F3111"/>
    <w:rsid w:val="009F4566"/>
    <w:rsid w:val="00A634C2"/>
    <w:rsid w:val="00AB4419"/>
    <w:rsid w:val="00AB4F74"/>
    <w:rsid w:val="00B10585"/>
    <w:rsid w:val="00B251E8"/>
    <w:rsid w:val="00B26370"/>
    <w:rsid w:val="00B50EF6"/>
    <w:rsid w:val="00B5572B"/>
    <w:rsid w:val="00B639C2"/>
    <w:rsid w:val="00B7323D"/>
    <w:rsid w:val="00BA79CF"/>
    <w:rsid w:val="00BD4296"/>
    <w:rsid w:val="00BE3BCE"/>
    <w:rsid w:val="00C46E59"/>
    <w:rsid w:val="00C57C8C"/>
    <w:rsid w:val="00C7441A"/>
    <w:rsid w:val="00CC060A"/>
    <w:rsid w:val="00CD5468"/>
    <w:rsid w:val="00CF6B31"/>
    <w:rsid w:val="00CF76B9"/>
    <w:rsid w:val="00D43724"/>
    <w:rsid w:val="00D75FAD"/>
    <w:rsid w:val="00D81639"/>
    <w:rsid w:val="00DB1A24"/>
    <w:rsid w:val="00DD31D6"/>
    <w:rsid w:val="00DD543E"/>
    <w:rsid w:val="00DF654A"/>
    <w:rsid w:val="00E05230"/>
    <w:rsid w:val="00E5668D"/>
    <w:rsid w:val="00E64E48"/>
    <w:rsid w:val="00E739FA"/>
    <w:rsid w:val="00EA6525"/>
    <w:rsid w:val="00EC5B67"/>
    <w:rsid w:val="00EC6274"/>
    <w:rsid w:val="00ED0A96"/>
    <w:rsid w:val="00ED1D23"/>
    <w:rsid w:val="00ED5AD7"/>
    <w:rsid w:val="00F071C4"/>
    <w:rsid w:val="00F15A9A"/>
    <w:rsid w:val="00F16A22"/>
    <w:rsid w:val="00F17911"/>
    <w:rsid w:val="00F21254"/>
    <w:rsid w:val="00F25D97"/>
    <w:rsid w:val="00F42842"/>
    <w:rsid w:val="00F4797D"/>
    <w:rsid w:val="00F540B3"/>
    <w:rsid w:val="00F66D70"/>
    <w:rsid w:val="00F864AA"/>
    <w:rsid w:val="00F97922"/>
    <w:rsid w:val="00FB16E2"/>
    <w:rsid w:val="00FB718A"/>
    <w:rsid w:val="00FD449A"/>
    <w:rsid w:val="00FD5726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rsid w:val="00E64E48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33A2A"/>
    <w:rPr>
      <w:color w:val="0000FF"/>
      <w:u w:val="single"/>
    </w:rPr>
  </w:style>
  <w:style w:type="character" w:styleId="CommentReference">
    <w:name w:val="annotation reference"/>
    <w:basedOn w:val="DefaultParagraphFont"/>
    <w:rsid w:val="00FB16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6E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B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6E2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FB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6E2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rsid w:val="002256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rsid w:val="00E64E48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33A2A"/>
    <w:rPr>
      <w:color w:val="0000FF"/>
      <w:u w:val="single"/>
    </w:rPr>
  </w:style>
  <w:style w:type="character" w:styleId="CommentReference">
    <w:name w:val="annotation reference"/>
    <w:basedOn w:val="DefaultParagraphFont"/>
    <w:rsid w:val="00FB16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6E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B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6E2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FB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6E2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rsid w:val="002256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es.utah.gov/publicat/code/r317/r317-002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q.utah.gov/public-notices-archive/water-quality-public-notice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Environmental Quality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 Davies</dc:creator>
  <cp:lastModifiedBy>Clanci Hawks</cp:lastModifiedBy>
  <cp:revision>2</cp:revision>
  <cp:lastPrinted>2019-10-09T16:59:00Z</cp:lastPrinted>
  <dcterms:created xsi:type="dcterms:W3CDTF">2019-10-09T17:31:00Z</dcterms:created>
  <dcterms:modified xsi:type="dcterms:W3CDTF">2019-10-09T17:31:00Z</dcterms:modified>
</cp:coreProperties>
</file>